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678" w:rsidRPr="00311678" w:rsidRDefault="00311678" w:rsidP="0031167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  <w:szCs w:val="20"/>
        </w:rPr>
      </w:pPr>
      <w:r w:rsidRPr="00311678">
        <w:rPr>
          <w:rFonts w:ascii="Times New Roman" w:hAnsi="Times New Roman" w:cs="Times New Roman" w:hint="eastAsia"/>
          <w:b/>
          <w:sz w:val="22"/>
          <w:szCs w:val="20"/>
        </w:rPr>
        <w:t xml:space="preserve">Supplementary Table 1. </w:t>
      </w:r>
      <w:r w:rsidR="00645A90">
        <w:rPr>
          <w:rFonts w:ascii="Times New Roman" w:hAnsi="Times New Roman" w:cs="Times New Roman"/>
          <w:b/>
          <w:sz w:val="22"/>
          <w:szCs w:val="20"/>
        </w:rPr>
        <w:t xml:space="preserve">Univariate </w:t>
      </w:r>
      <w:r w:rsidRPr="00311678">
        <w:rPr>
          <w:rFonts w:ascii="Times New Roman" w:hAnsi="Times New Roman" w:cs="Times New Roman"/>
          <w:b/>
          <w:sz w:val="22"/>
          <w:szCs w:val="20"/>
        </w:rPr>
        <w:t xml:space="preserve">Cox Analysis for All-cause Mortality, </w:t>
      </w:r>
      <w:r w:rsidRPr="00311678">
        <w:rPr>
          <w:rFonts w:ascii="Times New Roman" w:hAnsi="Times New Roman" w:cs="Times New Roman" w:hint="eastAsia"/>
          <w:b/>
          <w:sz w:val="22"/>
          <w:szCs w:val="20"/>
        </w:rPr>
        <w:t>H</w:t>
      </w:r>
      <w:r w:rsidRPr="00311678">
        <w:rPr>
          <w:rFonts w:ascii="Times New Roman" w:hAnsi="Times New Roman" w:cs="Times New Roman"/>
          <w:b/>
          <w:sz w:val="22"/>
          <w:szCs w:val="20"/>
        </w:rPr>
        <w:t>ospitalization and Stroke events</w:t>
      </w:r>
    </w:p>
    <w:tbl>
      <w:tblPr>
        <w:tblW w:w="142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2046"/>
        <w:gridCol w:w="927"/>
        <w:gridCol w:w="2113"/>
        <w:gridCol w:w="927"/>
        <w:gridCol w:w="2113"/>
        <w:gridCol w:w="927"/>
        <w:gridCol w:w="2113"/>
        <w:gridCol w:w="927"/>
      </w:tblGrid>
      <w:tr w:rsidR="00311678" w:rsidRPr="00B50DCF" w:rsidTr="00311678">
        <w:trPr>
          <w:trHeight w:val="255"/>
        </w:trPr>
        <w:tc>
          <w:tcPr>
            <w:tcW w:w="2127" w:type="dxa"/>
            <w:vMerge w:val="restart"/>
            <w:tcBorders>
              <w:top w:val="single" w:sz="1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Variables</w:t>
            </w:r>
          </w:p>
        </w:tc>
        <w:tc>
          <w:tcPr>
            <w:tcW w:w="12093" w:type="dxa"/>
            <w:gridSpan w:val="8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Univariate Analysis</w:t>
            </w:r>
          </w:p>
        </w:tc>
      </w:tr>
      <w:tr w:rsidR="00311678" w:rsidRPr="00B50DCF" w:rsidTr="00311678">
        <w:trPr>
          <w:trHeight w:val="255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2973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All-cause Mortality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Hospitalization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Ischemic stroke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Hemorrhagic stroke</w:t>
            </w:r>
          </w:p>
        </w:tc>
      </w:tr>
      <w:tr w:rsidR="00311678" w:rsidRPr="00B50DCF" w:rsidTr="00311678">
        <w:trPr>
          <w:trHeight w:val="270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HR (95% CI)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P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-value</w:t>
            </w:r>
          </w:p>
        </w:tc>
        <w:tc>
          <w:tcPr>
            <w:tcW w:w="211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HR (95% CI)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P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-value</w:t>
            </w:r>
          </w:p>
        </w:tc>
        <w:tc>
          <w:tcPr>
            <w:tcW w:w="211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HR (95% CI)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P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-value</w:t>
            </w:r>
          </w:p>
        </w:tc>
        <w:tc>
          <w:tcPr>
            <w:tcW w:w="211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HR (95% CI)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P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-value</w:t>
            </w:r>
          </w:p>
        </w:tc>
      </w:tr>
      <w:tr w:rsidR="00645A90" w:rsidRPr="00B50DCF" w:rsidTr="00311678">
        <w:trPr>
          <w:trHeight w:val="255"/>
        </w:trPr>
        <w:tc>
          <w:tcPr>
            <w:tcW w:w="212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711997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Age, 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y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ear increase</w:t>
            </w:r>
          </w:p>
        </w:tc>
        <w:tc>
          <w:tcPr>
            <w:tcW w:w="204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1.054(1.052-1.056)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1.017(1.015-1.018)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1.048(1.043-1.053)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1.017(1.011-1.023)</w:t>
            </w:r>
          </w:p>
        </w:tc>
        <w:tc>
          <w:tcPr>
            <w:tcW w:w="92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645A90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711997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Male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(vs. Female)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1.108(1.057-1.162)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0.961(0.933-0.989)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0.0076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1.082(0.974-1.203)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0.1424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0.907(0.781-1.054)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0.2044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Dialysis vintage,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y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ear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0.989(0.984-0.994)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0.990(0.987-0.993)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0.972(0.960-0.984)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0.986(0.969-1.002)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0.0952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BMI, kg/m2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0.976(0.969-0.983)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1.010(1.005-1.014)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1.006(0.991-1.022)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0.4267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0.939(0.916-0.962)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645A90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711997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BMI, 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kg/m</w:t>
            </w: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2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 xml:space="preserve"> </w:t>
            </w:r>
            <w:r w:rsidRPr="00DB3EBC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1.004(1.003-1.006)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1.003(1.003-1.004)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1.013(1.010-1.016)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1.014(1.010-1.019)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645A90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711997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SBP (pre-HD), 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mmHg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0.987(0.985-0.989)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0.993(0.992-0.995)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0.993(0.988-0.999)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0.0181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1.017(1.009-1.026)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645A90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711997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DBP (pre-HD), 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71199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mmHg</w:t>
            </w: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1.163(1.149-1.177)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1.138(1.128-1.147)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1.195(1.163-1.228)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1.116(1.070-1.164)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A90" w:rsidRPr="00B50DCF" w:rsidRDefault="00645A90" w:rsidP="00645A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Hb,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g/dL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0.869(0.845-0.894)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0.928(0.912-0.944)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0.985(0.926-1.047)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0.6275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0.881(0.805-0.964)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0.0061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Albumin,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g/dL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0.395(0.370-0.422)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0.628(0.601-0.655)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0.598(0.513-0.696)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0.796(0.636-0.997)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0.0471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Creatinine,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mg/dL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0.872(0.864-0.880)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0.948(0.943-0.953)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0.896(0.879-0.913)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0.931(0.906-0.957)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Phosphorus,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mg/dL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0.859(0.843-0.874)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0.963(0.953-0.973)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0.860(0.826-0.895)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0.982(0.931-1.037)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0.518</w:t>
            </w:r>
          </w:p>
        </w:tc>
      </w:tr>
      <w:tr w:rsidR="00311678" w:rsidRPr="00B50DCF" w:rsidTr="00FE5B54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Total calcium,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mg/dL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0.939(0.915-0.963)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0.966(0.951-0.981)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0.960(0.906-1.016)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0.1584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0.958(0.882-1.041)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0.3126</w:t>
            </w:r>
          </w:p>
        </w:tc>
      </w:tr>
      <w:tr w:rsidR="00311678" w:rsidRPr="00B50DCF" w:rsidTr="00311678">
        <w:trPr>
          <w:trHeight w:val="255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URR, 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per 1-</w:t>
            </w: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%</w:t>
            </w:r>
            <w:r w:rsidR="00645A90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increase</w:t>
            </w:r>
          </w:p>
        </w:tc>
        <w:tc>
          <w:tcPr>
            <w:tcW w:w="20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0.998(0.994-1.002)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0.3611</w:t>
            </w:r>
          </w:p>
        </w:tc>
        <w:tc>
          <w:tcPr>
            <w:tcW w:w="2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0.997(0.994-0.999)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0.0088</w:t>
            </w:r>
          </w:p>
        </w:tc>
        <w:tc>
          <w:tcPr>
            <w:tcW w:w="2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1.000(0.991-1.009)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0.9424</w:t>
            </w:r>
          </w:p>
        </w:tc>
        <w:tc>
          <w:tcPr>
            <w:tcW w:w="2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1.004(0.991-1.017)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0.5281</w:t>
            </w:r>
          </w:p>
        </w:tc>
      </w:tr>
      <w:tr w:rsidR="00311678" w:rsidRPr="00B50DCF" w:rsidTr="00311678">
        <w:trPr>
          <w:trHeight w:val="255"/>
        </w:trPr>
        <w:tc>
          <w:tcPr>
            <w:tcW w:w="21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AF (vs. Non AF)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1.594(1.436-1.770)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1.458(1.350-1.575)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1.472(1.142-1.899)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0.0029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1.576(1.105-2.247)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1678" w:rsidRPr="00B50DCF" w:rsidRDefault="00311678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B50DCF">
              <w:rPr>
                <w:rFonts w:ascii="Times New Roman" w:eastAsia="맑은 고딕" w:hAnsi="Times New Roman" w:cs="Times New Roman"/>
                <w:kern w:val="0"/>
                <w:szCs w:val="20"/>
              </w:rPr>
              <w:t>0.012</w:t>
            </w:r>
          </w:p>
        </w:tc>
      </w:tr>
    </w:tbl>
    <w:p w:rsidR="000E5FD4" w:rsidRDefault="00645A90" w:rsidP="00FF1CA1">
      <w:pPr>
        <w:rPr>
          <w:rFonts w:ascii="Times New Roman" w:hAnsi="Times New Roman" w:cs="Times New Roman"/>
          <w:szCs w:val="20"/>
        </w:rPr>
        <w:sectPr w:rsidR="000E5FD4" w:rsidSect="000E5FD4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 w:hint="eastAsia"/>
          <w:szCs w:val="20"/>
        </w:rPr>
        <w:t xml:space="preserve">Abbreviations; </w:t>
      </w:r>
      <w:r>
        <w:rPr>
          <w:rFonts w:ascii="Times New Roman" w:hAnsi="Times New Roman" w:cs="Times New Roman"/>
          <w:szCs w:val="20"/>
        </w:rPr>
        <w:t xml:space="preserve">HR, hazard ratio; CI, confidence interval; </w:t>
      </w:r>
      <w:r>
        <w:rPr>
          <w:rFonts w:ascii="Times New Roman" w:hAnsi="Times New Roman" w:cs="Times New Roman" w:hint="eastAsia"/>
          <w:szCs w:val="20"/>
        </w:rPr>
        <w:t xml:space="preserve">BMI, body mass index; SBP, systolic blood pressure; DBP, diastolic blood pressure; HD, hemodialysis; CCI, Charlson Comorbidity Index; </w:t>
      </w:r>
      <w:r>
        <w:rPr>
          <w:rFonts w:ascii="Times New Roman" w:hAnsi="Times New Roman" w:cs="Times New Roman"/>
          <w:szCs w:val="20"/>
        </w:rPr>
        <w:t xml:space="preserve">URR, urea reduction ratio; </w:t>
      </w:r>
      <w:r>
        <w:rPr>
          <w:rFonts w:ascii="Times New Roman" w:hAnsi="Times New Roman" w:cs="Times New Roman" w:hint="eastAsia"/>
          <w:szCs w:val="20"/>
        </w:rPr>
        <w:t>AF, atrial fibrillation</w:t>
      </w:r>
    </w:p>
    <w:p w:rsidR="00AB3611" w:rsidRPr="00D205D9" w:rsidRDefault="00AB3611" w:rsidP="00AB3611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kern w:val="0"/>
          <w:szCs w:val="20"/>
        </w:rPr>
      </w:pPr>
      <w:r w:rsidRPr="00F61DB8">
        <w:rPr>
          <w:rFonts w:ascii="Times New Roman" w:hAnsi="Times New Roman" w:cs="Times New Roman" w:hint="eastAsia"/>
          <w:b/>
          <w:sz w:val="22"/>
          <w:szCs w:val="20"/>
        </w:rPr>
        <w:lastRenderedPageBreak/>
        <w:t>Supplementary Table 2.</w:t>
      </w:r>
      <w:r w:rsidRPr="00F61DB8">
        <w:rPr>
          <w:rFonts w:ascii="Times New Roman" w:hAnsi="Times New Roman" w:cs="Times New Roman"/>
          <w:b/>
          <w:sz w:val="22"/>
          <w:szCs w:val="20"/>
        </w:rPr>
        <w:t xml:space="preserve"> Baseline Characteristics between Warfarin Users and Non-Users</w:t>
      </w:r>
      <w:r w:rsidRPr="00D205D9">
        <w:rPr>
          <w:rFonts w:ascii="Times New Roman" w:eastAsia="맑은 고딕" w:hAnsi="Times New Roman" w:cs="Times New Roman"/>
          <w:b/>
          <w:bCs/>
          <w:kern w:val="0"/>
          <w:szCs w:val="20"/>
        </w:rPr>
        <w:t xml:space="preserve"> </w:t>
      </w:r>
    </w:p>
    <w:tbl>
      <w:tblPr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00"/>
        <w:gridCol w:w="2120"/>
        <w:gridCol w:w="1984"/>
        <w:gridCol w:w="1701"/>
      </w:tblGrid>
      <w:tr w:rsidR="00AB3611" w:rsidRPr="00305D21" w:rsidTr="00D205D9">
        <w:trPr>
          <w:trHeight w:val="510"/>
        </w:trPr>
        <w:tc>
          <w:tcPr>
            <w:tcW w:w="27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D205D9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Variables</w:t>
            </w:r>
          </w:p>
        </w:tc>
        <w:tc>
          <w:tcPr>
            <w:tcW w:w="21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AB3611" w:rsidRPr="00305D21" w:rsidRDefault="00AB3611" w:rsidP="00D205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No</w:t>
            </w:r>
            <w:r w:rsidR="00D205D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n-</w:t>
            </w: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Warfarin </w:t>
            </w: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br/>
              <w:t>(N=547)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Warfarin</w:t>
            </w: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br/>
              <w:t>(N=177)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P</w:t>
            </w: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-value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Age, y</w:t>
            </w:r>
          </w:p>
        </w:tc>
        <w:tc>
          <w:tcPr>
            <w:tcW w:w="212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63.8 ± 10.8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64.7 ± 11.3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0.3478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Male, %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359 (65.6)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103 (58.2)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0.0734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Dialysis vintage, 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6.9 ± 6.2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6.3 ± 6.3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0.2856</w:t>
            </w:r>
          </w:p>
        </w:tc>
      </w:tr>
      <w:tr w:rsidR="00AB3611" w:rsidRPr="00305D21" w:rsidTr="00D205D9">
        <w:trPr>
          <w:trHeight w:val="31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Body mass index, kg/m</w:t>
            </w: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22.1 ± 3.3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22.2 ± 2.9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0.7451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SBP (pre-HD), mmHg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139.4 ± 15.4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133.7 ± 14.6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&lt;0.0001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DBP (pre-HD), mmHg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77.4 ± 9.1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75.6 ± 10.2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0.0264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Causes of ESRD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&lt;0.0864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DM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179 (32.7)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73 (41.2)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HTN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199 (36.4)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51 (28.8)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CGN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55 (10.1)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13 (7.3)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Others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48 (8.8)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12 (6.8)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Unknown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66 (12.1)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28 (15.8)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Lab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Hb, g/dL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10.7 ± 1.0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10.6 ± 0.8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0.4831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Albumin, g/dL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4.0 ± 0.3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3.9 ± 0.4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0.0075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Creatinine, mg/dL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9.3 ± 2.5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8.8 ± 2.8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0.013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Total calcium, mg/dL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9.0 ± 0.8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8.9 ± 0.9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0.3182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Phosphorus, mg/dL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4.9 ± 1.3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4.8 ± 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0.2588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Urea reduction ratio, %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70.5 ± 5.6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70.3 ± 6.1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0.7422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Comorbidities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Acute MI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25 (4.6)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8 (4.5)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0.9776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CHF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69 (12.6)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40 (22.6)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0.0012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PVD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31 (5.7)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 (5.7)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0.993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Cerebrovascular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52 (9.5)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33 (18.6)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0.001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Dementia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15 (2.7)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7 (4.0)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0.414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Chronic pulmonary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47 (8.6)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13 (7.3)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0.6007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Connective tissue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14 (2.6)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 (1.7)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0.7752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Peptic ulcer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84 (15.4)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20 (11.3)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0.181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Mild liver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21 (3.8)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14 (7.9)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0.0282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Severe liver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17 (3.1)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 (1.7)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0.4329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DM without complication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125 (22.9)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65 (36.7)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0.0003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DM with complication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180 (32.9)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68 (38.4)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0.1793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Hemiparesis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 (0.6)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5 (2.8)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0.0242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Chronic renal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547 (100)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177 (100)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Cancer without metastasis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37 (6.8)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 (5.7)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0.6009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Cancer with metastasis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 (0.4)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AIDS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HTN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347 (63.4)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105 (59.3)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0.3258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DM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227 (41.5)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93 (52.5)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0.0101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Ischemic heart disease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185 (33.8)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56 (31.6)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0.5923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Stroke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42 (7.7)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30 (17.0)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0.0003</w:t>
            </w:r>
          </w:p>
        </w:tc>
      </w:tr>
      <w:tr w:rsidR="00AB3611" w:rsidRPr="00305D21" w:rsidTr="00D205D9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  Cancer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37 (6.8)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10 (5.7)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3611" w:rsidRPr="00305D21" w:rsidRDefault="00AB3611" w:rsidP="00FE5B5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05D21">
              <w:rPr>
                <w:rFonts w:ascii="Times New Roman" w:eastAsia="맑은 고딕" w:hAnsi="Times New Roman" w:cs="Times New Roman"/>
                <w:kern w:val="0"/>
                <w:szCs w:val="20"/>
              </w:rPr>
              <w:t>0.6009</w:t>
            </w:r>
          </w:p>
        </w:tc>
      </w:tr>
    </w:tbl>
    <w:p w:rsidR="00D205D9" w:rsidRPr="00AB0CEC" w:rsidRDefault="00D205D9" w:rsidP="00D205D9">
      <w:pPr>
        <w:spacing w:line="240" w:lineRule="auto"/>
        <w:rPr>
          <w:rFonts w:ascii="Times New Roman" w:eastAsiaTheme="minorHAnsi" w:hAnsi="Times New Roman" w:cs="Times New Roman"/>
          <w:szCs w:val="20"/>
        </w:rPr>
      </w:pPr>
      <w:r w:rsidRPr="00AB0CEC">
        <w:rPr>
          <w:rFonts w:ascii="Times New Roman" w:eastAsiaTheme="minorHAnsi" w:hAnsi="Times New Roman" w:cs="Times New Roman"/>
          <w:szCs w:val="20"/>
        </w:rPr>
        <w:t>Data are expressed as mean</w:t>
      </w:r>
      <w:r>
        <w:rPr>
          <w:rFonts w:ascii="Times New Roman" w:eastAsiaTheme="minorHAnsi" w:hAnsi="Times New Roman" w:cs="Times New Roman"/>
          <w:szCs w:val="20"/>
        </w:rPr>
        <w:t xml:space="preserve"> </w:t>
      </w:r>
      <w:r w:rsidRPr="00AB0CEC">
        <w:rPr>
          <w:rFonts w:ascii="Times New Roman" w:eastAsiaTheme="minorHAnsi" w:hAnsi="Times New Roman" w:cs="Times New Roman"/>
          <w:szCs w:val="20"/>
        </w:rPr>
        <w:t>±</w:t>
      </w:r>
      <w:r>
        <w:rPr>
          <w:rFonts w:ascii="Times New Roman" w:eastAsiaTheme="minorHAnsi" w:hAnsi="Times New Roman" w:cs="Times New Roman"/>
          <w:szCs w:val="20"/>
        </w:rPr>
        <w:t xml:space="preserve"> </w:t>
      </w:r>
      <w:r w:rsidRPr="00AB0CEC">
        <w:rPr>
          <w:rFonts w:ascii="Times New Roman" w:eastAsiaTheme="minorHAnsi" w:hAnsi="Times New Roman" w:cs="Times New Roman"/>
          <w:szCs w:val="20"/>
        </w:rPr>
        <w:t>standard deviation or n (%).</w:t>
      </w:r>
    </w:p>
    <w:p w:rsidR="00AB3611" w:rsidRPr="00F23B3F" w:rsidRDefault="00D205D9" w:rsidP="00AB3611">
      <w:pPr>
        <w:widowControl/>
        <w:wordWrap/>
        <w:autoSpaceDE/>
        <w:autoSpaceDN/>
        <w:rPr>
          <w:rFonts w:ascii="Times New Roman" w:hAnsi="Times New Roman" w:cs="Times New Roman" w:hint="eastAsia"/>
          <w:szCs w:val="20"/>
        </w:rPr>
      </w:pPr>
      <w:r>
        <w:rPr>
          <w:rFonts w:ascii="Times New Roman" w:hAnsi="Times New Roman" w:cs="Times New Roman"/>
          <w:szCs w:val="20"/>
        </w:rPr>
        <w:t>Abbreviations; AF, atrial fibrillation; SBP, systolic blood pressure; DBP, diastolic blood pressure; HD, hemodialysis; ESRD, end-stage renal disease; DM, diabetes mellitus; HTN, hypertension; CGN, chronic glomerulonephritis; MI, myocardial infarction; CHF, congestive heart failure; PVD, peripheral vascular disease; AIDS, acquired immunodeficiency syndrome</w:t>
      </w:r>
      <w:bookmarkStart w:id="0" w:name="_GoBack"/>
      <w:bookmarkEnd w:id="0"/>
    </w:p>
    <w:sectPr w:rsidR="00AB3611" w:rsidRPr="00F23B3F" w:rsidSect="000E5FD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611"/>
    <w:rsid w:val="000E5FD4"/>
    <w:rsid w:val="00244105"/>
    <w:rsid w:val="00311678"/>
    <w:rsid w:val="0055442F"/>
    <w:rsid w:val="00645A90"/>
    <w:rsid w:val="00767002"/>
    <w:rsid w:val="00A22A44"/>
    <w:rsid w:val="00AB3611"/>
    <w:rsid w:val="00D205D9"/>
    <w:rsid w:val="00F23B3F"/>
    <w:rsid w:val="00F61DB8"/>
    <w:rsid w:val="00FF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92830"/>
  <w15:chartTrackingRefBased/>
  <w15:docId w15:val="{2DB39766-2A25-4024-951F-27A3DA713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6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 HYUNGJUNG</dc:creator>
  <cp:keywords/>
  <dc:description/>
  <cp:lastModifiedBy>OH HYUNGJUNG</cp:lastModifiedBy>
  <cp:revision>8</cp:revision>
  <dcterms:created xsi:type="dcterms:W3CDTF">2019-11-26T06:40:00Z</dcterms:created>
  <dcterms:modified xsi:type="dcterms:W3CDTF">2019-11-26T07:23:00Z</dcterms:modified>
</cp:coreProperties>
</file>